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F06E4B" w:rsidTr="00EE02AF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06E4B" w:rsidRDefault="00F06E4B" w:rsidP="00EE02A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06E4B" w:rsidRDefault="00F06E4B" w:rsidP="00EE02A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06E4B" w:rsidRDefault="00F06E4B" w:rsidP="00EE02AF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06E4B" w:rsidRDefault="00F06E4B" w:rsidP="00EE02A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F06E4B" w:rsidRDefault="00F06E4B" w:rsidP="00EE02AF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6E4B" w:rsidRDefault="00F06E4B" w:rsidP="00EE02AF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6E4B" w:rsidRDefault="00F06E4B" w:rsidP="00EE02AF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00F3B3" wp14:editId="5291F60A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06E4B" w:rsidRDefault="00F06E4B" w:rsidP="00EE02AF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F06E4B" w:rsidRDefault="00F06E4B" w:rsidP="00EE02AF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06E4B" w:rsidRDefault="00F06E4B" w:rsidP="00EE02AF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06E4B" w:rsidRDefault="00F06E4B" w:rsidP="00EE02AF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06E4B" w:rsidRDefault="00F06E4B" w:rsidP="00F06E4B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F06E4B" w:rsidRPr="00E86088" w:rsidRDefault="00F06E4B" w:rsidP="00F06E4B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</w:t>
      </w:r>
      <w:r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Ҡ</w:t>
      </w:r>
      <w:r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F06E4B" w:rsidRPr="00AA528D" w:rsidRDefault="00F06E4B" w:rsidP="00F06E4B">
      <w:pPr>
        <w:jc w:val="center"/>
        <w:rPr>
          <w:b/>
          <w:sz w:val="28"/>
          <w:szCs w:val="28"/>
        </w:rPr>
      </w:pPr>
      <w:r w:rsidRPr="00AA528D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F06E4B" w:rsidRPr="00AA528D" w:rsidRDefault="00F06E4B" w:rsidP="00F06E4B">
      <w:pPr>
        <w:shd w:val="clear" w:color="auto" w:fill="FFFFFF"/>
        <w:spacing w:before="14"/>
        <w:ind w:right="805" w:firstLine="709"/>
        <w:jc w:val="center"/>
        <w:rPr>
          <w:b/>
          <w:sz w:val="28"/>
          <w:szCs w:val="28"/>
        </w:rPr>
      </w:pPr>
      <w:proofErr w:type="spellStart"/>
      <w:r w:rsidRPr="00AA528D">
        <w:rPr>
          <w:b/>
          <w:sz w:val="28"/>
          <w:szCs w:val="28"/>
        </w:rPr>
        <w:t>Шаранский</w:t>
      </w:r>
      <w:proofErr w:type="spellEnd"/>
      <w:r w:rsidRPr="00AA528D">
        <w:rPr>
          <w:b/>
          <w:sz w:val="28"/>
          <w:szCs w:val="28"/>
        </w:rPr>
        <w:t xml:space="preserve"> сельсовет № 286 от 21.12.2013 года «</w:t>
      </w:r>
      <w:r w:rsidRPr="00AA528D">
        <w:rPr>
          <w:b/>
          <w:bCs/>
          <w:color w:val="000000"/>
          <w:sz w:val="28"/>
          <w:szCs w:val="28"/>
        </w:rPr>
        <w:t xml:space="preserve">О бюджете сельского поселения </w:t>
      </w:r>
      <w:proofErr w:type="spellStart"/>
      <w:r w:rsidRPr="00AA528D">
        <w:rPr>
          <w:b/>
          <w:bCs/>
          <w:color w:val="000000"/>
          <w:sz w:val="28"/>
          <w:szCs w:val="28"/>
        </w:rPr>
        <w:t>Шаранский</w:t>
      </w:r>
      <w:proofErr w:type="spellEnd"/>
      <w:r w:rsidRPr="00AA528D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A528D">
        <w:rPr>
          <w:b/>
          <w:bCs/>
          <w:color w:val="000000"/>
          <w:sz w:val="28"/>
          <w:szCs w:val="28"/>
        </w:rPr>
        <w:t>Шаранский</w:t>
      </w:r>
      <w:proofErr w:type="spellEnd"/>
      <w:r w:rsidRPr="00AA528D">
        <w:rPr>
          <w:b/>
          <w:bCs/>
          <w:color w:val="000000"/>
          <w:sz w:val="28"/>
          <w:szCs w:val="28"/>
        </w:rPr>
        <w:t xml:space="preserve"> район Республики Башкортостан на 2014 год и на плановый период  2015 и 2016 годов</w:t>
      </w:r>
      <w:r w:rsidRPr="00AA528D">
        <w:rPr>
          <w:b/>
          <w:sz w:val="28"/>
          <w:szCs w:val="28"/>
        </w:rPr>
        <w:t xml:space="preserve">» </w:t>
      </w:r>
    </w:p>
    <w:p w:rsidR="00F06E4B" w:rsidRPr="00AA528D" w:rsidRDefault="00F06E4B" w:rsidP="00F06E4B">
      <w:pPr>
        <w:rPr>
          <w:sz w:val="28"/>
          <w:szCs w:val="28"/>
        </w:rPr>
      </w:pPr>
    </w:p>
    <w:p w:rsidR="00F06E4B" w:rsidRDefault="00F06E4B" w:rsidP="00F06E4B"/>
    <w:p w:rsidR="00F06E4B" w:rsidRDefault="00F06E4B" w:rsidP="00F06E4B"/>
    <w:p w:rsidR="00F06E4B" w:rsidRPr="00AA528D" w:rsidRDefault="00F06E4B" w:rsidP="00F06E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A528D">
        <w:rPr>
          <w:color w:val="000000"/>
          <w:sz w:val="28"/>
          <w:szCs w:val="28"/>
        </w:rPr>
        <w:t xml:space="preserve">Заслушав информацию председателя комиссии по бюджету и финансовым вопросам, налогам и вопросам собственности </w:t>
      </w:r>
      <w:proofErr w:type="spellStart"/>
      <w:r w:rsidRPr="00AA528D">
        <w:rPr>
          <w:color w:val="000000"/>
          <w:sz w:val="28"/>
          <w:szCs w:val="28"/>
        </w:rPr>
        <w:t>Зилеева</w:t>
      </w:r>
      <w:proofErr w:type="spellEnd"/>
      <w:r w:rsidRPr="00AA528D">
        <w:rPr>
          <w:color w:val="000000"/>
          <w:sz w:val="28"/>
          <w:szCs w:val="28"/>
        </w:rPr>
        <w:t xml:space="preserve"> И.А. Совет сельского поселения </w:t>
      </w:r>
      <w:proofErr w:type="spellStart"/>
      <w:r w:rsidRPr="00AA528D">
        <w:rPr>
          <w:color w:val="000000"/>
          <w:sz w:val="28"/>
          <w:szCs w:val="28"/>
        </w:rPr>
        <w:t>Шаранский</w:t>
      </w:r>
      <w:proofErr w:type="spellEnd"/>
      <w:r w:rsidRPr="00AA528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A528D">
        <w:rPr>
          <w:color w:val="000000"/>
          <w:sz w:val="28"/>
          <w:szCs w:val="28"/>
        </w:rPr>
        <w:t>Шаранский</w:t>
      </w:r>
      <w:proofErr w:type="spellEnd"/>
      <w:r w:rsidRPr="00AA528D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F06E4B" w:rsidRPr="00AA528D" w:rsidRDefault="00F06E4B" w:rsidP="00F06E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A528D">
        <w:rPr>
          <w:color w:val="000000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 w:rsidRPr="00AA528D">
        <w:rPr>
          <w:color w:val="000000"/>
          <w:sz w:val="28"/>
          <w:szCs w:val="28"/>
        </w:rPr>
        <w:t>Шаранский</w:t>
      </w:r>
      <w:proofErr w:type="spellEnd"/>
      <w:r w:rsidRPr="00AA528D">
        <w:rPr>
          <w:color w:val="000000"/>
          <w:sz w:val="28"/>
          <w:szCs w:val="28"/>
        </w:rPr>
        <w:t xml:space="preserve"> сельсовет от 17.12.2013 года № 286 « О бюджете сельского поселения </w:t>
      </w:r>
      <w:proofErr w:type="spellStart"/>
      <w:r w:rsidRPr="00AA528D">
        <w:rPr>
          <w:color w:val="000000"/>
          <w:sz w:val="28"/>
          <w:szCs w:val="28"/>
        </w:rPr>
        <w:t>Шаранский</w:t>
      </w:r>
      <w:proofErr w:type="spellEnd"/>
      <w:r w:rsidRPr="00AA528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A528D">
        <w:rPr>
          <w:color w:val="000000"/>
          <w:sz w:val="28"/>
          <w:szCs w:val="28"/>
        </w:rPr>
        <w:t>Шаранский</w:t>
      </w:r>
      <w:proofErr w:type="spellEnd"/>
      <w:r w:rsidRPr="00AA528D">
        <w:rPr>
          <w:color w:val="000000"/>
          <w:sz w:val="28"/>
          <w:szCs w:val="28"/>
        </w:rPr>
        <w:t xml:space="preserve"> район Республики Башкортостан на 2014год и на плановый период 2015 и 2016 го</w:t>
      </w:r>
      <w:r w:rsidR="00AA528D">
        <w:rPr>
          <w:color w:val="000000"/>
          <w:sz w:val="28"/>
          <w:szCs w:val="28"/>
        </w:rPr>
        <w:t xml:space="preserve">дов» </w:t>
      </w:r>
      <w:proofErr w:type="gramStart"/>
      <w:r w:rsidR="00AA528D">
        <w:rPr>
          <w:color w:val="000000"/>
          <w:sz w:val="28"/>
          <w:szCs w:val="28"/>
        </w:rPr>
        <w:t>согласно приложения</w:t>
      </w:r>
      <w:proofErr w:type="gramEnd"/>
      <w:r w:rsidR="00AA528D">
        <w:rPr>
          <w:color w:val="000000"/>
          <w:sz w:val="28"/>
          <w:szCs w:val="28"/>
        </w:rPr>
        <w:t xml:space="preserve"> 1,2,3</w:t>
      </w:r>
      <w:bookmarkStart w:id="0" w:name="_GoBack"/>
      <w:bookmarkEnd w:id="0"/>
      <w:r w:rsidRPr="00AA528D">
        <w:rPr>
          <w:color w:val="000000"/>
          <w:sz w:val="28"/>
          <w:szCs w:val="28"/>
        </w:rPr>
        <w:t xml:space="preserve"> к настоящему решению: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1501"/>
        <w:gridCol w:w="3346"/>
      </w:tblGrid>
      <w:tr w:rsidR="00F06E4B" w:rsidRPr="00DD13EF" w:rsidTr="00EE02AF">
        <w:trPr>
          <w:trHeight w:val="556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AA528D" w:rsidRDefault="00F06E4B" w:rsidP="00EE02AF">
            <w:pPr>
              <w:spacing w:before="100" w:beforeAutospacing="1" w:after="100" w:afterAutospacing="1"/>
              <w:ind w:right="-828"/>
              <w:jc w:val="center"/>
              <w:rPr>
                <w:sz w:val="28"/>
                <w:szCs w:val="28"/>
              </w:rPr>
            </w:pPr>
            <w:r w:rsidRPr="00AA528D">
              <w:rPr>
                <w:sz w:val="28"/>
                <w:szCs w:val="28"/>
              </w:rPr>
              <w:t>КБК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AA528D" w:rsidRDefault="00F06E4B" w:rsidP="00EE02A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A528D">
              <w:rPr>
                <w:sz w:val="28"/>
                <w:szCs w:val="28"/>
              </w:rPr>
              <w:t>сумма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AA528D" w:rsidRDefault="00F06E4B" w:rsidP="00EE02AF">
            <w:pPr>
              <w:rPr>
                <w:sz w:val="28"/>
                <w:szCs w:val="28"/>
              </w:rPr>
            </w:pPr>
          </w:p>
        </w:tc>
      </w:tr>
      <w:tr w:rsidR="00F06E4B" w:rsidRPr="00DD13EF" w:rsidTr="00EE02AF">
        <w:trPr>
          <w:trHeight w:val="556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AA528D" w:rsidRDefault="00F06E4B" w:rsidP="00EE02AF">
            <w:pPr>
              <w:spacing w:before="100" w:beforeAutospacing="1" w:after="100" w:afterAutospacing="1"/>
              <w:ind w:right="-828"/>
              <w:jc w:val="both"/>
              <w:rPr>
                <w:sz w:val="28"/>
                <w:szCs w:val="28"/>
              </w:rPr>
            </w:pPr>
            <w:r w:rsidRPr="00AA528D">
              <w:rPr>
                <w:sz w:val="28"/>
                <w:szCs w:val="28"/>
              </w:rPr>
              <w:t>\0503\791\20\3\0605\244\310.2\ФЗ131-</w:t>
            </w:r>
          </w:p>
          <w:p w:rsidR="00F06E4B" w:rsidRPr="00AA528D" w:rsidRDefault="00F06E4B" w:rsidP="00EE02AF">
            <w:pPr>
              <w:spacing w:before="100" w:beforeAutospacing="1" w:after="100" w:afterAutospacing="1"/>
              <w:ind w:right="-828"/>
              <w:jc w:val="both"/>
              <w:rPr>
                <w:sz w:val="28"/>
                <w:szCs w:val="28"/>
              </w:rPr>
            </w:pPr>
            <w:r w:rsidRPr="00AA528D">
              <w:rPr>
                <w:sz w:val="28"/>
                <w:szCs w:val="28"/>
              </w:rPr>
              <w:t>03_116\\РП-А-2800\2.20.003.000\\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AA528D" w:rsidRDefault="00F06E4B" w:rsidP="00EE02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A528D">
              <w:rPr>
                <w:sz w:val="28"/>
                <w:szCs w:val="28"/>
              </w:rPr>
              <w:t>130000,00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AA528D" w:rsidRDefault="00F06E4B" w:rsidP="00EE02A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A528D">
              <w:rPr>
                <w:sz w:val="28"/>
                <w:szCs w:val="28"/>
              </w:rPr>
              <w:t>Изготовление ограждение жилого дома из материала поставщика</w:t>
            </w:r>
          </w:p>
        </w:tc>
      </w:tr>
      <w:tr w:rsidR="00F06E4B" w:rsidRPr="00DD13EF" w:rsidTr="00EE02AF">
        <w:trPr>
          <w:trHeight w:val="556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AA528D" w:rsidRDefault="00F06E4B" w:rsidP="00EE02A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A528D">
              <w:rPr>
                <w:sz w:val="28"/>
                <w:szCs w:val="28"/>
              </w:rPr>
              <w:t>\0409\791\09\0\0315\244\225.2\ФЗ131-03_102\\РП-А-1200\2.09.000.000\\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AA528D" w:rsidRDefault="00F06E4B" w:rsidP="00EE02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A528D">
              <w:rPr>
                <w:sz w:val="28"/>
                <w:szCs w:val="28"/>
              </w:rPr>
              <w:t>- 130000,00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AA528D" w:rsidRDefault="00F06E4B" w:rsidP="00EE02AF">
            <w:pPr>
              <w:rPr>
                <w:sz w:val="28"/>
                <w:szCs w:val="28"/>
              </w:rPr>
            </w:pPr>
          </w:p>
        </w:tc>
      </w:tr>
    </w:tbl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>Глава сельского поселения</w:t>
      </w:r>
    </w:p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сельсовет                                                                     Р. </w:t>
      </w:r>
      <w:proofErr w:type="spellStart"/>
      <w:r w:rsidRPr="00DD13EF">
        <w:rPr>
          <w:color w:val="000000"/>
          <w:sz w:val="26"/>
          <w:szCs w:val="26"/>
        </w:rPr>
        <w:t>Мануров</w:t>
      </w:r>
      <w:proofErr w:type="spellEnd"/>
    </w:p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>с. Шаран</w:t>
      </w:r>
    </w:p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>09 июля 2014</w:t>
      </w:r>
    </w:p>
    <w:p w:rsidR="00F06E4B" w:rsidRPr="00DD13EF" w:rsidRDefault="00F32609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340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06E4B" w:rsidRPr="00333ACF" w:rsidTr="00EE02AF">
        <w:trPr>
          <w:trHeight w:val="1534"/>
        </w:trPr>
        <w:tc>
          <w:tcPr>
            <w:tcW w:w="9824" w:type="dxa"/>
            <w:vAlign w:val="center"/>
            <w:hideMark/>
          </w:tcPr>
          <w:p w:rsidR="00F06E4B" w:rsidRDefault="00F06E4B" w:rsidP="00EE02AF">
            <w:pPr>
              <w:spacing w:before="100" w:beforeAutospacing="1" w:after="100" w:afterAutospacing="1"/>
              <w:ind w:left="4320"/>
              <w:jc w:val="right"/>
            </w:pPr>
            <w:r w:rsidRPr="00333ACF">
              <w:lastRenderedPageBreak/>
              <w:t>Приложение 1</w:t>
            </w:r>
          </w:p>
          <w:p w:rsidR="00F06E4B" w:rsidRPr="00333ACF" w:rsidRDefault="00F06E4B" w:rsidP="00EE02AF">
            <w:pPr>
              <w:spacing w:before="100" w:beforeAutospacing="1" w:after="100" w:afterAutospacing="1"/>
              <w:ind w:left="4320"/>
            </w:pPr>
            <w:r w:rsidRPr="00333ACF">
              <w:t xml:space="preserve">к решению Совета сельского поселения </w:t>
            </w:r>
            <w:proofErr w:type="spellStart"/>
            <w:r w:rsidRPr="00333ACF">
              <w:t>Шаранский</w:t>
            </w:r>
            <w:proofErr w:type="spellEnd"/>
            <w:r w:rsidRPr="00333ACF">
              <w:t xml:space="preserve"> сельсовет муниципального района </w:t>
            </w:r>
            <w:proofErr w:type="spellStart"/>
            <w:r w:rsidRPr="00333ACF">
              <w:t>Шаранский</w:t>
            </w:r>
            <w:proofErr w:type="spellEnd"/>
            <w:r w:rsidRPr="00333ACF">
              <w:t xml:space="preserve"> район Республики Башкортостан</w:t>
            </w:r>
          </w:p>
          <w:p w:rsidR="00F06E4B" w:rsidRPr="00333ACF" w:rsidRDefault="00F06E4B" w:rsidP="00EE02AF">
            <w:pPr>
              <w:spacing w:before="100" w:beforeAutospacing="1" w:after="100" w:afterAutospacing="1"/>
              <w:ind w:left="4320"/>
            </w:pPr>
            <w:r w:rsidRPr="00333ACF">
              <w:t>от 09 июля 2014 года № 340</w:t>
            </w:r>
          </w:p>
        </w:tc>
      </w:tr>
    </w:tbl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район Республики Башкортостан на 2014 год по разделам, подразделам, целевым статьям (муниципальным программам сельского поселения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D13EF">
        <w:rPr>
          <w:color w:val="000000"/>
          <w:sz w:val="26"/>
          <w:szCs w:val="26"/>
        </w:rPr>
        <w:t>видов расходов классификации расходов бюджетов</w:t>
      </w:r>
      <w:proofErr w:type="gramEnd"/>
    </w:p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>(тыс. 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3"/>
        <w:gridCol w:w="964"/>
        <w:gridCol w:w="1118"/>
        <w:gridCol w:w="686"/>
        <w:gridCol w:w="1104"/>
      </w:tblGrid>
      <w:tr w:rsidR="00F06E4B" w:rsidRPr="00DD13EF" w:rsidTr="00EE02AF">
        <w:trPr>
          <w:tblHeader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D13EF">
              <w:rPr>
                <w:b/>
                <w:bCs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D13EF">
              <w:rPr>
                <w:b/>
                <w:bCs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D13EF">
              <w:rPr>
                <w:b/>
                <w:bCs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 xml:space="preserve">Программа «Содержание и ремонт автомобильных дорог в сельском поселении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район Республики Башкортостан в 2014-2016 годах»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0900000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0900315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0900315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0503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 xml:space="preserve">Программа благоустройства территории сельского поселения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район Республики Башкортостан на 2014-2016 года»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0503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2000000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район Республики Башкортостан на 2014-2016 года»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0503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2030000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0503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2030605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0503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2030605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</w:tbl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 xml:space="preserve">Глава сельского поселения                                                          </w:t>
      </w:r>
      <w:proofErr w:type="spellStart"/>
      <w:r w:rsidRPr="00DD13EF">
        <w:rPr>
          <w:color w:val="000000"/>
          <w:sz w:val="26"/>
          <w:szCs w:val="26"/>
        </w:rPr>
        <w:t>Мануров</w:t>
      </w:r>
      <w:proofErr w:type="spellEnd"/>
      <w:r w:rsidRPr="00DD13EF">
        <w:rPr>
          <w:color w:val="000000"/>
          <w:sz w:val="26"/>
          <w:szCs w:val="26"/>
        </w:rPr>
        <w:t xml:space="preserve"> Р.Р.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06E4B" w:rsidRPr="00333ACF" w:rsidTr="00EE02AF">
        <w:trPr>
          <w:trHeight w:val="1565"/>
        </w:trPr>
        <w:tc>
          <w:tcPr>
            <w:tcW w:w="9385" w:type="dxa"/>
            <w:vAlign w:val="center"/>
            <w:hideMark/>
          </w:tcPr>
          <w:p w:rsidR="00F06E4B" w:rsidRPr="00333ACF" w:rsidRDefault="00F06E4B" w:rsidP="00EE02AF">
            <w:pPr>
              <w:spacing w:before="100" w:beforeAutospacing="1" w:after="100" w:afterAutospacing="1"/>
              <w:ind w:left="4320"/>
              <w:jc w:val="right"/>
            </w:pPr>
            <w:r>
              <w:lastRenderedPageBreak/>
              <w:t>П</w:t>
            </w:r>
            <w:r w:rsidRPr="00333ACF">
              <w:t>риложение 2</w:t>
            </w:r>
          </w:p>
          <w:p w:rsidR="00F06E4B" w:rsidRPr="00333ACF" w:rsidRDefault="00F06E4B" w:rsidP="00EE02AF">
            <w:pPr>
              <w:spacing w:before="100" w:beforeAutospacing="1" w:after="100" w:afterAutospacing="1"/>
              <w:ind w:left="4320"/>
            </w:pPr>
            <w:r w:rsidRPr="00333ACF">
              <w:t xml:space="preserve">к решению Совета сельского поселения </w:t>
            </w:r>
            <w:proofErr w:type="spellStart"/>
            <w:r w:rsidRPr="00333ACF">
              <w:t>Шаранский</w:t>
            </w:r>
            <w:proofErr w:type="spellEnd"/>
            <w:r w:rsidRPr="00333ACF">
              <w:t xml:space="preserve"> сельсовет муниципального района </w:t>
            </w:r>
            <w:proofErr w:type="spellStart"/>
            <w:r w:rsidRPr="00333ACF">
              <w:t>Шаранский</w:t>
            </w:r>
            <w:proofErr w:type="spellEnd"/>
            <w:r w:rsidRPr="00333ACF">
              <w:t xml:space="preserve"> район Республики Башкортостан</w:t>
            </w:r>
          </w:p>
          <w:p w:rsidR="00F06E4B" w:rsidRPr="00333ACF" w:rsidRDefault="00F06E4B" w:rsidP="00EE02AF">
            <w:pPr>
              <w:spacing w:before="100" w:beforeAutospacing="1" w:after="100" w:afterAutospacing="1"/>
              <w:ind w:left="4320"/>
            </w:pPr>
            <w:r w:rsidRPr="00333ACF">
              <w:t>от 09 июля 2014 года № 340</w:t>
            </w:r>
          </w:p>
        </w:tc>
      </w:tr>
    </w:tbl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район Республики Башкортостан на 2014 год по целевым статьям (муниципальным программам сельского поселения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DD13EF">
        <w:rPr>
          <w:color w:val="000000"/>
          <w:sz w:val="26"/>
          <w:szCs w:val="26"/>
        </w:rPr>
        <w:t>видов расходов классификации расходов бюджетов</w:t>
      </w:r>
      <w:proofErr w:type="gramEnd"/>
    </w:p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>(тыс. 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1531"/>
        <w:gridCol w:w="1051"/>
        <w:gridCol w:w="1114"/>
      </w:tblGrid>
      <w:tr w:rsidR="00F06E4B" w:rsidRPr="00DD13EF" w:rsidTr="00EE02AF">
        <w:trPr>
          <w:tblHeader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D13EF">
              <w:rPr>
                <w:b/>
                <w:bCs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D13EF">
              <w:rPr>
                <w:b/>
                <w:bCs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06E4B" w:rsidRPr="00DD13EF" w:rsidTr="00EE02AF">
        <w:trPr>
          <w:trHeight w:val="207"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 w:line="207" w:lineRule="atLeast"/>
              <w:ind w:left="-194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 w:line="207" w:lineRule="atLeast"/>
              <w:ind w:left="-194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 w:line="207" w:lineRule="atLeast"/>
              <w:ind w:left="-194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 w:line="207" w:lineRule="atLeast"/>
              <w:ind w:left="-194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F06E4B" w:rsidRPr="00DD13EF" w:rsidTr="00EE02AF">
        <w:trPr>
          <w:trHeight w:val="33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33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06E4B" w:rsidRPr="00DD13EF" w:rsidTr="00EE02AF">
        <w:trPr>
          <w:trHeight w:val="524"/>
        </w:trPr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33"/>
              <w:jc w:val="both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DD13EF">
              <w:rPr>
                <w:b/>
                <w:bCs/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b/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D13EF">
              <w:rPr>
                <w:b/>
                <w:bCs/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b/>
                <w:bCs/>
                <w:sz w:val="26"/>
                <w:szCs w:val="26"/>
              </w:rPr>
              <w:t xml:space="preserve"> район Республики Башкортостан в 2014-2016 годах»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0900000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408"/>
        </w:trPr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0900315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413"/>
        </w:trPr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0900315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524"/>
        </w:trPr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 xml:space="preserve">Программа благоустройства территории сельского поселения </w:t>
            </w:r>
            <w:proofErr w:type="spellStart"/>
            <w:r w:rsidRPr="00DD13EF">
              <w:rPr>
                <w:b/>
                <w:bCs/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b/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D13EF">
              <w:rPr>
                <w:b/>
                <w:bCs/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b/>
                <w:bCs/>
                <w:sz w:val="26"/>
                <w:szCs w:val="26"/>
              </w:rPr>
              <w:t xml:space="preserve"> район Республики Башкортостан на 2014-2016г</w:t>
            </w:r>
            <w:proofErr w:type="gramStart"/>
            <w:r w:rsidRPr="00DD13EF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DD13EF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2000000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524"/>
        </w:trPr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район Республики Башкортостан на 2014-2016г</w:t>
            </w:r>
            <w:proofErr w:type="gramStart"/>
            <w:r w:rsidRPr="00DD13EF">
              <w:rPr>
                <w:sz w:val="26"/>
                <w:szCs w:val="26"/>
              </w:rPr>
              <w:t>.г</w:t>
            </w:r>
            <w:proofErr w:type="gramEnd"/>
            <w:r w:rsidRPr="00DD13EF">
              <w:rPr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2030000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524"/>
        </w:trPr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2030605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324"/>
        </w:trPr>
        <w:tc>
          <w:tcPr>
            <w:tcW w:w="58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2030605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ind w:left="-194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</w:tbl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F06E4B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 xml:space="preserve">Глава сельского поселения                                                             </w:t>
      </w:r>
      <w:proofErr w:type="spellStart"/>
      <w:r w:rsidRPr="00DD13EF">
        <w:rPr>
          <w:color w:val="000000"/>
          <w:sz w:val="26"/>
          <w:szCs w:val="26"/>
        </w:rPr>
        <w:t>Мануров</w:t>
      </w:r>
      <w:proofErr w:type="spellEnd"/>
      <w:r w:rsidRPr="00DD13EF">
        <w:rPr>
          <w:color w:val="000000"/>
          <w:sz w:val="26"/>
          <w:szCs w:val="26"/>
        </w:rPr>
        <w:t xml:space="preserve"> Р.Р.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06E4B" w:rsidRPr="00333ACF" w:rsidTr="00EE02AF">
        <w:trPr>
          <w:trHeight w:val="1423"/>
        </w:trPr>
        <w:tc>
          <w:tcPr>
            <w:tcW w:w="9385" w:type="dxa"/>
            <w:vAlign w:val="center"/>
            <w:hideMark/>
          </w:tcPr>
          <w:p w:rsidR="00F06E4B" w:rsidRPr="00333ACF" w:rsidRDefault="00F06E4B" w:rsidP="00EE02AF">
            <w:pPr>
              <w:spacing w:before="100" w:beforeAutospacing="1" w:after="100" w:afterAutospacing="1"/>
              <w:jc w:val="right"/>
            </w:pPr>
            <w:r w:rsidRPr="00333ACF">
              <w:lastRenderedPageBreak/>
              <w:t>Приложение 3</w:t>
            </w:r>
          </w:p>
          <w:p w:rsidR="00F06E4B" w:rsidRPr="00333ACF" w:rsidRDefault="00F06E4B" w:rsidP="00EE02AF">
            <w:pPr>
              <w:spacing w:before="100" w:beforeAutospacing="1" w:after="100" w:afterAutospacing="1"/>
              <w:ind w:left="4320"/>
            </w:pPr>
            <w:r w:rsidRPr="00333ACF">
              <w:t xml:space="preserve">к решению Совета сельского поселения </w:t>
            </w:r>
            <w:proofErr w:type="spellStart"/>
            <w:r w:rsidRPr="00333ACF">
              <w:t>Шаранский</w:t>
            </w:r>
            <w:proofErr w:type="spellEnd"/>
            <w:r w:rsidRPr="00333ACF">
              <w:t xml:space="preserve"> сельсовет муниципального района </w:t>
            </w:r>
            <w:proofErr w:type="spellStart"/>
            <w:r w:rsidRPr="00333ACF">
              <w:t>Шаранский</w:t>
            </w:r>
            <w:proofErr w:type="spellEnd"/>
            <w:r w:rsidRPr="00333ACF">
              <w:t xml:space="preserve"> район Республики Башкортостан</w:t>
            </w:r>
          </w:p>
          <w:p w:rsidR="00F06E4B" w:rsidRPr="00333ACF" w:rsidRDefault="00F06E4B" w:rsidP="00EE02AF">
            <w:pPr>
              <w:spacing w:before="100" w:beforeAutospacing="1" w:after="100" w:afterAutospacing="1"/>
              <w:ind w:left="4320"/>
            </w:pPr>
            <w:r w:rsidRPr="00333ACF">
              <w:t xml:space="preserve">от 09 июля 2014 года </w:t>
            </w:r>
            <w:r>
              <w:t xml:space="preserve"> </w:t>
            </w:r>
            <w:r w:rsidRPr="00333ACF">
              <w:t>№ 340</w:t>
            </w:r>
          </w:p>
        </w:tc>
      </w:tr>
    </w:tbl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 xml:space="preserve">Ведомственная структура расходов бюджета сельского поселения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D13EF">
        <w:rPr>
          <w:color w:val="000000"/>
          <w:sz w:val="26"/>
          <w:szCs w:val="26"/>
        </w:rPr>
        <w:t>Шаранский</w:t>
      </w:r>
      <w:proofErr w:type="spellEnd"/>
      <w:r w:rsidRPr="00DD13EF">
        <w:rPr>
          <w:color w:val="000000"/>
          <w:sz w:val="26"/>
          <w:szCs w:val="26"/>
        </w:rPr>
        <w:t xml:space="preserve"> район Республики Башкортостан на 2014 год.</w:t>
      </w:r>
    </w:p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>(тыс. 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1238"/>
        <w:gridCol w:w="1393"/>
        <w:gridCol w:w="828"/>
        <w:gridCol w:w="1114"/>
      </w:tblGrid>
      <w:tr w:rsidR="00F06E4B" w:rsidRPr="00DD13EF" w:rsidTr="00EE02AF">
        <w:trPr>
          <w:trHeight w:val="272"/>
          <w:tblHeader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DD13EF">
              <w:rPr>
                <w:b/>
                <w:bCs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D13EF">
              <w:rPr>
                <w:b/>
                <w:bCs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D13EF">
              <w:rPr>
                <w:b/>
                <w:bCs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06E4B" w:rsidRPr="00DD13EF" w:rsidTr="00EE02AF">
        <w:trPr>
          <w:trHeight w:val="209"/>
          <w:tblHeader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 w:line="209" w:lineRule="atLeast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 w:line="209" w:lineRule="atLeast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 w:line="209" w:lineRule="atLeast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 w:line="209" w:lineRule="atLeast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 w:line="209" w:lineRule="atLeast"/>
              <w:jc w:val="center"/>
              <w:rPr>
                <w:b/>
                <w:bCs/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F06E4B" w:rsidRPr="00DD13EF" w:rsidTr="00EE02AF">
        <w:trPr>
          <w:trHeight w:val="333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06E4B" w:rsidRPr="00DD13EF" w:rsidTr="00EE02AF">
        <w:trPr>
          <w:trHeight w:val="530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DD13EF">
              <w:rPr>
                <w:b/>
                <w:bCs/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b/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D13EF">
              <w:rPr>
                <w:b/>
                <w:bCs/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b/>
                <w:bCs/>
                <w:sz w:val="26"/>
                <w:szCs w:val="26"/>
              </w:rPr>
              <w:t xml:space="preserve"> район Республики Башкортостан в 2014-2016 годах»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0900000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386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0900315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530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0900315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- 130,0</w:t>
            </w:r>
          </w:p>
        </w:tc>
      </w:tr>
      <w:tr w:rsidR="00F06E4B" w:rsidRPr="00DD13EF" w:rsidTr="00EE02AF">
        <w:trPr>
          <w:trHeight w:val="530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 xml:space="preserve">Программа благоустройства территории сельского поселения </w:t>
            </w:r>
            <w:proofErr w:type="spellStart"/>
            <w:r w:rsidRPr="00DD13EF">
              <w:rPr>
                <w:b/>
                <w:bCs/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b/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D13EF">
              <w:rPr>
                <w:b/>
                <w:bCs/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b/>
                <w:bCs/>
                <w:sz w:val="26"/>
                <w:szCs w:val="26"/>
              </w:rPr>
              <w:t xml:space="preserve"> район Республики Башкортостан на 2014-2016г</w:t>
            </w:r>
            <w:proofErr w:type="gramStart"/>
            <w:r w:rsidRPr="00DD13EF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DD13EF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2000000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b/>
                <w:bCs/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530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DD13EF">
              <w:rPr>
                <w:sz w:val="26"/>
                <w:szCs w:val="26"/>
              </w:rPr>
              <w:t>Шаранский</w:t>
            </w:r>
            <w:proofErr w:type="spellEnd"/>
            <w:r w:rsidRPr="00DD13EF">
              <w:rPr>
                <w:sz w:val="26"/>
                <w:szCs w:val="26"/>
              </w:rPr>
              <w:t xml:space="preserve"> район Республики Башкортостан на 2014-2016г</w:t>
            </w:r>
            <w:proofErr w:type="gramStart"/>
            <w:r w:rsidRPr="00DD13EF">
              <w:rPr>
                <w:sz w:val="26"/>
                <w:szCs w:val="26"/>
              </w:rPr>
              <w:t>.г</w:t>
            </w:r>
            <w:proofErr w:type="gramEnd"/>
            <w:r w:rsidRPr="00DD13EF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2030000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530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2030605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  <w:tr w:rsidR="00F06E4B" w:rsidRPr="00DD13EF" w:rsidTr="00EE02AF">
        <w:trPr>
          <w:trHeight w:val="403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791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2030605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06E4B" w:rsidRPr="00DD13EF" w:rsidRDefault="00F06E4B" w:rsidP="00EE02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D13EF">
              <w:rPr>
                <w:sz w:val="26"/>
                <w:szCs w:val="26"/>
              </w:rPr>
              <w:t>130,0</w:t>
            </w:r>
          </w:p>
        </w:tc>
      </w:tr>
    </w:tbl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:rsidR="00F06E4B" w:rsidRPr="00DD13EF" w:rsidRDefault="00F06E4B" w:rsidP="00F06E4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DD13EF">
        <w:rPr>
          <w:color w:val="000000"/>
          <w:sz w:val="26"/>
          <w:szCs w:val="26"/>
        </w:rPr>
        <w:t xml:space="preserve">Глава сельского поселения                                                </w:t>
      </w:r>
      <w:proofErr w:type="spellStart"/>
      <w:r w:rsidRPr="00DD13EF">
        <w:rPr>
          <w:color w:val="000000"/>
          <w:sz w:val="26"/>
          <w:szCs w:val="26"/>
        </w:rPr>
        <w:t>Мануров</w:t>
      </w:r>
      <w:proofErr w:type="spellEnd"/>
      <w:r w:rsidRPr="00DD13EF">
        <w:rPr>
          <w:color w:val="000000"/>
          <w:sz w:val="26"/>
          <w:szCs w:val="26"/>
        </w:rPr>
        <w:t xml:space="preserve"> Р.Р.</w:t>
      </w:r>
    </w:p>
    <w:p w:rsidR="00F06E4B" w:rsidRDefault="00F06E4B" w:rsidP="00F06E4B"/>
    <w:p w:rsidR="005D46A0" w:rsidRDefault="005D46A0"/>
    <w:sectPr w:rsidR="005D46A0" w:rsidSect="00DD13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7"/>
    <w:rsid w:val="000A5DE7"/>
    <w:rsid w:val="005D46A0"/>
    <w:rsid w:val="00AA528D"/>
    <w:rsid w:val="00E41564"/>
    <w:rsid w:val="00F06E4B"/>
    <w:rsid w:val="00F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6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6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06E4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06E4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06E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6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6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06E4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06E4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06E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2014-07-10T07:23:00Z</cp:lastPrinted>
  <dcterms:created xsi:type="dcterms:W3CDTF">2014-07-09T09:45:00Z</dcterms:created>
  <dcterms:modified xsi:type="dcterms:W3CDTF">2014-07-10T07:23:00Z</dcterms:modified>
</cp:coreProperties>
</file>